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6F0" w:rsidRPr="00705A24" w:rsidRDefault="008B3987" w:rsidP="00705A24">
      <w:pPr>
        <w:pStyle w:val="Default"/>
        <w:spacing w:line="23" w:lineRule="atLeast"/>
        <w:jc w:val="center"/>
        <w:rPr>
          <w:rFonts w:ascii="Times New Roman" w:hAnsi="Times New Roman" w:cs="Times New Roman"/>
          <w:b/>
        </w:rPr>
      </w:pPr>
      <w:r w:rsidRPr="00705A24">
        <w:rPr>
          <w:rFonts w:ascii="Times New Roman" w:hAnsi="Times New Roman" w:cs="Times New Roman"/>
          <w:b/>
        </w:rPr>
        <w:t>EVENTO SINGULAR E MINISTRADO POR DETENTORES DE NOTÓRIA ESPECIALIZAÇÃO – INEXIGIBILIDADE DE LICITAÇÃO (LEI 8.666/93, ART. 25, INCISO II C/C ART. 13</w:t>
      </w:r>
      <w:r w:rsidR="00C37070" w:rsidRPr="00705A24">
        <w:rPr>
          <w:rFonts w:ascii="Times New Roman" w:hAnsi="Times New Roman" w:cs="Times New Roman"/>
          <w:b/>
        </w:rPr>
        <w:t>, VI</w:t>
      </w:r>
      <w:proofErr w:type="gramStart"/>
      <w:r w:rsidRPr="00705A24">
        <w:rPr>
          <w:rFonts w:ascii="Times New Roman" w:hAnsi="Times New Roman" w:cs="Times New Roman"/>
          <w:b/>
        </w:rPr>
        <w:t>)</w:t>
      </w:r>
      <w:proofErr w:type="gramEnd"/>
    </w:p>
    <w:p w:rsidR="008B3987" w:rsidRPr="00705A24" w:rsidRDefault="008B3987" w:rsidP="00705A24">
      <w:pPr>
        <w:spacing w:line="23" w:lineRule="atLeast"/>
        <w:rPr>
          <w:rFonts w:ascii="Times New Roman" w:hAnsi="Times New Roman" w:cs="Times New Roman"/>
        </w:rPr>
      </w:pPr>
    </w:p>
    <w:p w:rsidR="008B3987" w:rsidRPr="00705A24" w:rsidRDefault="00BF4B00" w:rsidP="00705A24">
      <w:pPr>
        <w:spacing w:line="23" w:lineRule="atLeast"/>
        <w:jc w:val="both"/>
        <w:rPr>
          <w:rFonts w:ascii="Times New Roman" w:hAnsi="Times New Roman" w:cs="Times New Roman"/>
          <w:sz w:val="24"/>
          <w:szCs w:val="24"/>
        </w:rPr>
      </w:pPr>
      <w:r w:rsidRPr="00705A24">
        <w:rPr>
          <w:rFonts w:ascii="Times New Roman" w:hAnsi="Times New Roman" w:cs="Times New Roman"/>
        </w:rPr>
        <w:tab/>
      </w:r>
      <w:r w:rsidRPr="00705A24">
        <w:rPr>
          <w:rFonts w:ascii="Times New Roman" w:hAnsi="Times New Roman" w:cs="Times New Roman"/>
          <w:sz w:val="24"/>
          <w:szCs w:val="24"/>
        </w:rPr>
        <w:t xml:space="preserve">Trata-se de solicitação de inscrição formulada pela servidora GILVANEDJA FERREIRA MENDES DA SILVA, Matrícula SIAPE 169283, para participação no SINPRED – Seminário Internacional de Preservação Digital, organizado pela Rede Brasileira de Preservação Digital – </w:t>
      </w:r>
      <w:proofErr w:type="spellStart"/>
      <w:r w:rsidRPr="00705A24">
        <w:rPr>
          <w:rFonts w:ascii="Times New Roman" w:hAnsi="Times New Roman" w:cs="Times New Roman"/>
          <w:sz w:val="24"/>
          <w:szCs w:val="24"/>
        </w:rPr>
        <w:t>Cariniana</w:t>
      </w:r>
      <w:proofErr w:type="spellEnd"/>
      <w:r w:rsidRPr="00705A24">
        <w:rPr>
          <w:rFonts w:ascii="Times New Roman" w:hAnsi="Times New Roman" w:cs="Times New Roman"/>
          <w:sz w:val="24"/>
          <w:szCs w:val="24"/>
        </w:rPr>
        <w:t>, que será realizado no período de 15 a 17 de Maio de 2019, na cidade de Goiânia/GO.</w:t>
      </w:r>
    </w:p>
    <w:p w:rsidR="00BF4B00" w:rsidRDefault="00BF4B00" w:rsidP="00705A24">
      <w:pPr>
        <w:spacing w:line="23" w:lineRule="atLeast"/>
        <w:jc w:val="both"/>
        <w:rPr>
          <w:rFonts w:ascii="Times New Roman" w:hAnsi="Times New Roman" w:cs="Times New Roman"/>
          <w:sz w:val="24"/>
          <w:szCs w:val="24"/>
        </w:rPr>
      </w:pPr>
      <w:r w:rsidRPr="00705A24">
        <w:rPr>
          <w:rFonts w:ascii="Times New Roman" w:hAnsi="Times New Roman" w:cs="Times New Roman"/>
          <w:sz w:val="24"/>
          <w:szCs w:val="24"/>
        </w:rPr>
        <w:tab/>
      </w:r>
      <w:r w:rsidR="001B61B3">
        <w:rPr>
          <w:rFonts w:ascii="Times New Roman" w:hAnsi="Times New Roman" w:cs="Times New Roman"/>
          <w:sz w:val="24"/>
          <w:szCs w:val="24"/>
        </w:rPr>
        <w:t>Após análise realizada</w:t>
      </w:r>
      <w:r w:rsidRPr="00705A24">
        <w:rPr>
          <w:rFonts w:ascii="Times New Roman" w:hAnsi="Times New Roman" w:cs="Times New Roman"/>
          <w:sz w:val="24"/>
          <w:szCs w:val="24"/>
        </w:rPr>
        <w:t xml:space="preserve"> </w:t>
      </w:r>
      <w:r w:rsidR="001B61B3">
        <w:rPr>
          <w:rFonts w:ascii="Times New Roman" w:hAnsi="Times New Roman" w:cs="Times New Roman"/>
          <w:sz w:val="24"/>
          <w:szCs w:val="24"/>
        </w:rPr>
        <w:t xml:space="preserve">com base na </w:t>
      </w:r>
      <w:r w:rsidRPr="00705A24">
        <w:rPr>
          <w:rFonts w:ascii="Times New Roman" w:hAnsi="Times New Roman" w:cs="Times New Roman"/>
          <w:sz w:val="24"/>
          <w:szCs w:val="24"/>
        </w:rPr>
        <w:t>document</w:t>
      </w:r>
      <w:r w:rsidR="00C37070" w:rsidRPr="00705A24">
        <w:rPr>
          <w:rFonts w:ascii="Times New Roman" w:hAnsi="Times New Roman" w:cs="Times New Roman"/>
          <w:sz w:val="24"/>
          <w:szCs w:val="24"/>
        </w:rPr>
        <w:t xml:space="preserve">ação apresentada, </w:t>
      </w:r>
      <w:r w:rsidR="001B61B3">
        <w:rPr>
          <w:rFonts w:ascii="Times New Roman" w:hAnsi="Times New Roman" w:cs="Times New Roman"/>
          <w:sz w:val="24"/>
          <w:szCs w:val="24"/>
        </w:rPr>
        <w:t xml:space="preserve">conferida através de </w:t>
      </w:r>
      <w:proofErr w:type="spellStart"/>
      <w:r w:rsidR="001B61B3">
        <w:rPr>
          <w:rFonts w:ascii="Times New Roman" w:hAnsi="Times New Roman" w:cs="Times New Roman"/>
          <w:i/>
          <w:sz w:val="24"/>
          <w:szCs w:val="24"/>
        </w:rPr>
        <w:t>checklist</w:t>
      </w:r>
      <w:proofErr w:type="spellEnd"/>
      <w:r w:rsidR="001B61B3">
        <w:rPr>
          <w:rFonts w:ascii="Times New Roman" w:hAnsi="Times New Roman" w:cs="Times New Roman"/>
          <w:i/>
          <w:sz w:val="24"/>
          <w:szCs w:val="24"/>
        </w:rPr>
        <w:t>,</w:t>
      </w:r>
      <w:r w:rsidR="001B61B3">
        <w:rPr>
          <w:rFonts w:ascii="Times New Roman" w:hAnsi="Times New Roman" w:cs="Times New Roman"/>
          <w:sz w:val="24"/>
          <w:szCs w:val="24"/>
        </w:rPr>
        <w:t xml:space="preserve"> </w:t>
      </w:r>
      <w:r w:rsidR="00C37070" w:rsidRPr="00705A24">
        <w:rPr>
          <w:rFonts w:ascii="Times New Roman" w:hAnsi="Times New Roman" w:cs="Times New Roman"/>
          <w:sz w:val="24"/>
          <w:szCs w:val="24"/>
        </w:rPr>
        <w:t xml:space="preserve">temos </w:t>
      </w:r>
      <w:r w:rsidR="001B61B3">
        <w:rPr>
          <w:rFonts w:ascii="Times New Roman" w:hAnsi="Times New Roman" w:cs="Times New Roman"/>
          <w:sz w:val="24"/>
          <w:szCs w:val="24"/>
        </w:rPr>
        <w:t>indicativo da presença dos</w:t>
      </w:r>
      <w:r w:rsidR="00C37070" w:rsidRPr="00705A24">
        <w:rPr>
          <w:rFonts w:ascii="Times New Roman" w:hAnsi="Times New Roman" w:cs="Times New Roman"/>
          <w:sz w:val="24"/>
          <w:szCs w:val="24"/>
        </w:rPr>
        <w:t xml:space="preserve"> requisitos necessários a se configurar a inexigibilidade de licitação, nos moldes da Lei nº 8.666/93, art. 25, II c/c art. 13, VI.</w:t>
      </w:r>
    </w:p>
    <w:p w:rsidR="00974DA3" w:rsidRPr="00705A24" w:rsidRDefault="00974DA3" w:rsidP="00705A24">
      <w:pPr>
        <w:spacing w:line="23" w:lineRule="atLeast"/>
        <w:jc w:val="both"/>
        <w:rPr>
          <w:rFonts w:ascii="Times New Roman" w:hAnsi="Times New Roman" w:cs="Times New Roman"/>
          <w:sz w:val="24"/>
          <w:szCs w:val="24"/>
        </w:rPr>
      </w:pPr>
      <w:r>
        <w:rPr>
          <w:rFonts w:ascii="Times New Roman" w:hAnsi="Times New Roman" w:cs="Times New Roman"/>
          <w:sz w:val="24"/>
          <w:szCs w:val="24"/>
        </w:rPr>
        <w:tab/>
        <w:t xml:space="preserve">Com efeito, o art. 25, II da Lei 8.666/93 entende como inexigível a licitação para a </w:t>
      </w:r>
      <w:r w:rsidRPr="00974DA3">
        <w:rPr>
          <w:rFonts w:ascii="Times New Roman" w:hAnsi="Times New Roman" w:cs="Times New Roman"/>
          <w:sz w:val="24"/>
          <w:szCs w:val="24"/>
        </w:rPr>
        <w:t>contratação de serviços técnicos enumerados no art. 13 d</w:t>
      </w:r>
      <w:r>
        <w:rPr>
          <w:rFonts w:ascii="Times New Roman" w:hAnsi="Times New Roman" w:cs="Times New Roman"/>
          <w:sz w:val="24"/>
          <w:szCs w:val="24"/>
        </w:rPr>
        <w:t>a mesma lei</w:t>
      </w:r>
      <w:r w:rsidRPr="00974DA3">
        <w:rPr>
          <w:rFonts w:ascii="Times New Roman" w:hAnsi="Times New Roman" w:cs="Times New Roman"/>
          <w:sz w:val="24"/>
          <w:szCs w:val="24"/>
        </w:rPr>
        <w:t>, de natureza singular, com profissionais ou empresas de notória especialização, vedada a inexigibilidade para serviços de publicidade e divulgação</w:t>
      </w:r>
      <w:r>
        <w:rPr>
          <w:rFonts w:ascii="Times New Roman" w:hAnsi="Times New Roman" w:cs="Times New Roman"/>
          <w:sz w:val="24"/>
          <w:szCs w:val="24"/>
        </w:rPr>
        <w:t>. Por sua vez, o art. 13, VI menciona os serviços de treinamento e aperfeiçoamento de pessoal como serviços técnicos especializados.</w:t>
      </w:r>
    </w:p>
    <w:p w:rsidR="00617964" w:rsidRPr="00705A24" w:rsidRDefault="00617964" w:rsidP="00705A24">
      <w:pPr>
        <w:spacing w:line="23" w:lineRule="atLeast"/>
        <w:jc w:val="both"/>
        <w:rPr>
          <w:rFonts w:ascii="Times New Roman" w:hAnsi="Times New Roman" w:cs="Times New Roman"/>
          <w:sz w:val="24"/>
          <w:szCs w:val="24"/>
        </w:rPr>
      </w:pPr>
      <w:r w:rsidRPr="00705A24">
        <w:rPr>
          <w:rFonts w:ascii="Times New Roman" w:hAnsi="Times New Roman" w:cs="Times New Roman"/>
          <w:sz w:val="24"/>
          <w:szCs w:val="24"/>
        </w:rPr>
        <w:tab/>
      </w:r>
      <w:r w:rsidR="00974DA3">
        <w:rPr>
          <w:rFonts w:ascii="Times New Roman" w:hAnsi="Times New Roman" w:cs="Times New Roman"/>
          <w:sz w:val="24"/>
          <w:szCs w:val="24"/>
        </w:rPr>
        <w:t>Além disso, o</w:t>
      </w:r>
      <w:r w:rsidRPr="00705A24">
        <w:rPr>
          <w:rFonts w:ascii="Times New Roman" w:hAnsi="Times New Roman" w:cs="Times New Roman"/>
          <w:sz w:val="24"/>
          <w:szCs w:val="24"/>
        </w:rPr>
        <w:t xml:space="preserve"> art. 25, § </w:t>
      </w:r>
      <w:r w:rsidR="00974DA3">
        <w:rPr>
          <w:rFonts w:ascii="Times New Roman" w:hAnsi="Times New Roman" w:cs="Times New Roman"/>
          <w:sz w:val="24"/>
          <w:szCs w:val="24"/>
        </w:rPr>
        <w:t>1</w:t>
      </w:r>
      <w:r w:rsidRPr="00705A24">
        <w:rPr>
          <w:rFonts w:ascii="Times New Roman" w:hAnsi="Times New Roman" w:cs="Times New Roman"/>
          <w:sz w:val="24"/>
          <w:szCs w:val="24"/>
        </w:rPr>
        <w:t>º, da Lei 8.666/93</w:t>
      </w:r>
      <w:r w:rsidR="00974DA3">
        <w:rPr>
          <w:rFonts w:ascii="Times New Roman" w:hAnsi="Times New Roman" w:cs="Times New Roman"/>
          <w:sz w:val="24"/>
          <w:szCs w:val="24"/>
        </w:rPr>
        <w:t xml:space="preserve"> considera como de notória especialização, para fins de inexigibilidade, </w:t>
      </w:r>
      <w:r w:rsidR="00974DA3" w:rsidRPr="00974DA3">
        <w:rPr>
          <w:rFonts w:ascii="Times New Roman" w:hAnsi="Times New Roman" w:cs="Times New Roman"/>
          <w:b/>
          <w:sz w:val="24"/>
          <w:szCs w:val="24"/>
        </w:rPr>
        <w:t>“</w:t>
      </w:r>
      <w:r w:rsidRPr="00974DA3">
        <w:rPr>
          <w:rFonts w:ascii="Times New Roman" w:hAnsi="Times New Roman" w:cs="Times New Roman"/>
          <w:b/>
          <w:sz w:val="24"/>
          <w:szCs w:val="24"/>
        </w:rPr>
        <w:t>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w:t>
      </w:r>
      <w:r w:rsidRPr="00705A24">
        <w:rPr>
          <w:rFonts w:ascii="Times New Roman" w:hAnsi="Times New Roman" w:cs="Times New Roman"/>
          <w:sz w:val="24"/>
          <w:szCs w:val="24"/>
        </w:rPr>
        <w:t>.</w:t>
      </w:r>
    </w:p>
    <w:p w:rsidR="00617964" w:rsidRPr="00705A24" w:rsidRDefault="00617964" w:rsidP="00705A24">
      <w:pPr>
        <w:spacing w:line="23" w:lineRule="atLeast"/>
        <w:jc w:val="both"/>
        <w:rPr>
          <w:rFonts w:ascii="Times New Roman" w:hAnsi="Times New Roman" w:cs="Times New Roman"/>
          <w:sz w:val="24"/>
          <w:szCs w:val="24"/>
        </w:rPr>
      </w:pPr>
      <w:r w:rsidRPr="00705A24">
        <w:rPr>
          <w:rFonts w:ascii="Times New Roman" w:hAnsi="Times New Roman" w:cs="Times New Roman"/>
          <w:sz w:val="24"/>
          <w:szCs w:val="24"/>
        </w:rPr>
        <w:tab/>
        <w:t xml:space="preserve">No caso, temos um evento de iniciativa do Instituto Brasileiro de Informação em Ciência e Tecnologia (IBICT), Instituição Científica e Tecnológica – ICT, integrante da estrutura do </w:t>
      </w:r>
      <w:r w:rsidRPr="00705A24">
        <w:rPr>
          <w:rFonts w:ascii="Times New Roman" w:hAnsi="Times New Roman" w:cs="Times New Roman"/>
          <w:bCs/>
          <w:sz w:val="24"/>
          <w:szCs w:val="24"/>
        </w:rPr>
        <w:t>Ministério da Ciência</w:t>
      </w:r>
      <w:r w:rsidRPr="00705A24">
        <w:rPr>
          <w:rFonts w:ascii="Times New Roman" w:hAnsi="Times New Roman" w:cs="Times New Roman"/>
          <w:sz w:val="24"/>
          <w:szCs w:val="24"/>
        </w:rPr>
        <w:t>, </w:t>
      </w:r>
      <w:r w:rsidRPr="00705A24">
        <w:rPr>
          <w:rFonts w:ascii="Times New Roman" w:hAnsi="Times New Roman" w:cs="Times New Roman"/>
          <w:bCs/>
          <w:sz w:val="24"/>
          <w:szCs w:val="24"/>
        </w:rPr>
        <w:t>Tecnologia</w:t>
      </w:r>
      <w:r w:rsidRPr="00705A24">
        <w:rPr>
          <w:rFonts w:ascii="Times New Roman" w:hAnsi="Times New Roman" w:cs="Times New Roman"/>
          <w:sz w:val="24"/>
          <w:szCs w:val="24"/>
        </w:rPr>
        <w:t>, Inovações e Comunicações – MCTIC, consolidada como referência na área de transferência de tecnologias da informação no Brasil e no exterior.</w:t>
      </w:r>
    </w:p>
    <w:p w:rsidR="00174DD0" w:rsidRDefault="00174DD0" w:rsidP="00705A24">
      <w:pPr>
        <w:spacing w:line="23" w:lineRule="atLeast"/>
        <w:jc w:val="both"/>
        <w:rPr>
          <w:rFonts w:ascii="Times New Roman" w:hAnsi="Times New Roman" w:cs="Times New Roman"/>
          <w:sz w:val="24"/>
          <w:szCs w:val="24"/>
        </w:rPr>
      </w:pPr>
      <w:r w:rsidRPr="00705A24">
        <w:rPr>
          <w:rFonts w:ascii="Times New Roman" w:hAnsi="Times New Roman" w:cs="Times New Roman"/>
          <w:sz w:val="24"/>
          <w:szCs w:val="24"/>
        </w:rPr>
        <w:tab/>
        <w:t>Além disso, o evento contará com a realização de workshops sobre aspectos da preservação digital com especialistas nacionais e internacionais,</w:t>
      </w:r>
      <w:r w:rsidR="00974DA3">
        <w:rPr>
          <w:rFonts w:ascii="Times New Roman" w:hAnsi="Times New Roman" w:cs="Times New Roman"/>
          <w:sz w:val="24"/>
          <w:szCs w:val="24"/>
        </w:rPr>
        <w:t xml:space="preserve"> contribuindo para a aplicação efetiva de políticas e projetos de preservação digital em instituições nacionais,</w:t>
      </w:r>
      <w:r w:rsidRPr="00705A24">
        <w:rPr>
          <w:rFonts w:ascii="Times New Roman" w:hAnsi="Times New Roman" w:cs="Times New Roman"/>
          <w:sz w:val="24"/>
          <w:szCs w:val="24"/>
        </w:rPr>
        <w:t xml:space="preserve"> o que se amolda ao teor da Orientação Normativa nº 18, da Advocacia-Geral da</w:t>
      </w:r>
      <w:r w:rsidR="00974DA3">
        <w:rPr>
          <w:rFonts w:ascii="Times New Roman" w:hAnsi="Times New Roman" w:cs="Times New Roman"/>
          <w:sz w:val="24"/>
          <w:szCs w:val="24"/>
        </w:rPr>
        <w:t xml:space="preserve"> União, de 1º de Abril de 2009, segundo a qual:</w:t>
      </w:r>
    </w:p>
    <w:p w:rsidR="00974DA3" w:rsidRDefault="00974DA3" w:rsidP="00705A24">
      <w:pPr>
        <w:spacing w:line="23" w:lineRule="atLeast"/>
        <w:jc w:val="both"/>
        <w:rPr>
          <w:rFonts w:ascii="Times New Roman" w:hAnsi="Times New Roman" w:cs="Times New Roman"/>
          <w:sz w:val="24"/>
          <w:szCs w:val="24"/>
        </w:rPr>
      </w:pPr>
    </w:p>
    <w:p w:rsidR="00974DA3" w:rsidRPr="00974DA3" w:rsidRDefault="00974DA3" w:rsidP="00974DA3">
      <w:pPr>
        <w:spacing w:line="23" w:lineRule="atLeast"/>
        <w:ind w:left="1134"/>
        <w:jc w:val="both"/>
        <w:rPr>
          <w:rFonts w:ascii="Times New Roman" w:hAnsi="Times New Roman" w:cs="Times New Roman"/>
          <w:b/>
          <w:i/>
        </w:rPr>
      </w:pPr>
      <w:r w:rsidRPr="00974DA3">
        <w:rPr>
          <w:rFonts w:ascii="Times New Roman" w:hAnsi="Times New Roman" w:cs="Times New Roman"/>
          <w:b/>
          <w:bCs/>
          <w:i/>
        </w:rPr>
        <w:t xml:space="preserve">Contrata-se por inexigibilidade de licitação com fundamento no art. 25, inc. II, da lei n° 8.666, de 1993, conferencistas para ministrar cursos para treinamento e </w:t>
      </w:r>
      <w:r w:rsidRPr="00974DA3">
        <w:rPr>
          <w:rFonts w:ascii="Times New Roman" w:hAnsi="Times New Roman" w:cs="Times New Roman"/>
          <w:b/>
          <w:bCs/>
          <w:i/>
        </w:rPr>
        <w:lastRenderedPageBreak/>
        <w:t>aperfeiçoamento de pessoal, ou a inscrição em cursos abertos, desde que caracterizada a singularidade do objeto e verificado tratar-se de notório especialista.</w:t>
      </w:r>
    </w:p>
    <w:p w:rsidR="00974DA3" w:rsidRDefault="00705A24" w:rsidP="00705A24">
      <w:pPr>
        <w:spacing w:line="23" w:lineRule="atLeast"/>
        <w:jc w:val="both"/>
        <w:rPr>
          <w:rFonts w:ascii="Times New Roman" w:hAnsi="Times New Roman" w:cs="Times New Roman"/>
          <w:sz w:val="24"/>
          <w:szCs w:val="24"/>
        </w:rPr>
      </w:pPr>
      <w:r w:rsidRPr="00705A24">
        <w:rPr>
          <w:rFonts w:ascii="Times New Roman" w:hAnsi="Times New Roman" w:cs="Times New Roman"/>
          <w:sz w:val="24"/>
          <w:szCs w:val="24"/>
        </w:rPr>
        <w:tab/>
      </w:r>
      <w:r w:rsidR="009E3575">
        <w:rPr>
          <w:rFonts w:ascii="Times New Roman" w:hAnsi="Times New Roman" w:cs="Times New Roman"/>
          <w:sz w:val="24"/>
          <w:szCs w:val="24"/>
        </w:rPr>
        <w:t>Ademais, embora se trate de fornecedor exclusivo, justifica-se na prática do preço através da verificação de que o valor aplicado (a saber, R$ 250,00) é o mesmo para outros órgãos públicos, não acarretando prejuízo para a Administração.</w:t>
      </w:r>
    </w:p>
    <w:p w:rsidR="00705A24" w:rsidRDefault="009E3575" w:rsidP="009E3575">
      <w:pPr>
        <w:spacing w:line="23" w:lineRule="atLeast"/>
        <w:jc w:val="both"/>
        <w:rPr>
          <w:rFonts w:ascii="Times New Roman" w:hAnsi="Times New Roman" w:cs="Times New Roman"/>
          <w:sz w:val="24"/>
          <w:szCs w:val="24"/>
        </w:rPr>
      </w:pPr>
      <w:r>
        <w:rPr>
          <w:rFonts w:ascii="Times New Roman" w:hAnsi="Times New Roman" w:cs="Times New Roman"/>
          <w:sz w:val="24"/>
          <w:szCs w:val="24"/>
        </w:rPr>
        <w:tab/>
        <w:t xml:space="preserve">Pelo exposto, considerando que foram apresentados elementos suficientes que indicam a inexigibilidade como forma de contratação da inscrição supramencionada, no valor de </w:t>
      </w:r>
      <w:r w:rsidRPr="009E3575">
        <w:rPr>
          <w:rFonts w:ascii="Times New Roman" w:hAnsi="Times New Roman" w:cs="Times New Roman"/>
          <w:b/>
          <w:sz w:val="24"/>
          <w:szCs w:val="24"/>
        </w:rPr>
        <w:t>R$ 250,00 (duzentos e cinquenta reais</w:t>
      </w:r>
      <w:r>
        <w:rPr>
          <w:rFonts w:ascii="Times New Roman" w:hAnsi="Times New Roman" w:cs="Times New Roman"/>
          <w:sz w:val="24"/>
          <w:szCs w:val="24"/>
        </w:rPr>
        <w:t xml:space="preserve">), encaminhem-se os autos à Direção para </w:t>
      </w:r>
      <w:r w:rsidRPr="009E3575">
        <w:rPr>
          <w:rFonts w:ascii="Times New Roman" w:hAnsi="Times New Roman" w:cs="Times New Roman"/>
          <w:b/>
          <w:sz w:val="24"/>
          <w:szCs w:val="24"/>
        </w:rPr>
        <w:t>avaliação e ratificação</w:t>
      </w:r>
      <w:r>
        <w:rPr>
          <w:rFonts w:ascii="Times New Roman" w:hAnsi="Times New Roman" w:cs="Times New Roman"/>
          <w:sz w:val="24"/>
          <w:szCs w:val="24"/>
        </w:rPr>
        <w:t xml:space="preserve"> da contratação direta.</w:t>
      </w:r>
    </w:p>
    <w:p w:rsidR="00705A24" w:rsidRDefault="00705A24" w:rsidP="00705A24">
      <w:pPr>
        <w:spacing w:line="23" w:lineRule="atLeast"/>
        <w:jc w:val="both"/>
        <w:rPr>
          <w:rFonts w:ascii="Times New Roman" w:hAnsi="Times New Roman" w:cs="Times New Roman"/>
          <w:sz w:val="24"/>
          <w:szCs w:val="24"/>
        </w:rPr>
      </w:pPr>
    </w:p>
    <w:p w:rsidR="00705A24" w:rsidRPr="006F350D" w:rsidRDefault="006F350D" w:rsidP="00705A24">
      <w:pPr>
        <w:spacing w:line="23" w:lineRule="atLeast"/>
        <w:jc w:val="center"/>
        <w:rPr>
          <w:rFonts w:ascii="Times New Roman" w:hAnsi="Times New Roman" w:cs="Times New Roman"/>
          <w:b/>
          <w:sz w:val="24"/>
          <w:szCs w:val="24"/>
        </w:rPr>
      </w:pPr>
      <w:proofErr w:type="spellStart"/>
      <w:r w:rsidRPr="006F350D">
        <w:rPr>
          <w:rFonts w:ascii="Times New Roman" w:hAnsi="Times New Roman" w:cs="Times New Roman"/>
          <w:b/>
          <w:sz w:val="24"/>
          <w:szCs w:val="24"/>
        </w:rPr>
        <w:t>Tamara</w:t>
      </w:r>
      <w:proofErr w:type="spellEnd"/>
      <w:r w:rsidRPr="006F350D">
        <w:rPr>
          <w:rFonts w:ascii="Times New Roman" w:hAnsi="Times New Roman" w:cs="Times New Roman"/>
          <w:b/>
          <w:sz w:val="24"/>
          <w:szCs w:val="24"/>
        </w:rPr>
        <w:t xml:space="preserve"> Aureliano Gomes</w:t>
      </w:r>
    </w:p>
    <w:p w:rsidR="00705A24" w:rsidRPr="00705A24" w:rsidRDefault="00705A24" w:rsidP="00705A24">
      <w:pPr>
        <w:spacing w:line="23" w:lineRule="atLeast"/>
        <w:jc w:val="center"/>
        <w:rPr>
          <w:rFonts w:ascii="Times New Roman" w:hAnsi="Times New Roman" w:cs="Times New Roman"/>
          <w:sz w:val="24"/>
          <w:szCs w:val="24"/>
        </w:rPr>
      </w:pPr>
      <w:r>
        <w:rPr>
          <w:rFonts w:ascii="Times New Roman" w:hAnsi="Times New Roman" w:cs="Times New Roman"/>
          <w:sz w:val="24"/>
          <w:szCs w:val="24"/>
        </w:rPr>
        <w:t>Matrícula</w:t>
      </w:r>
      <w:r w:rsidR="006F350D">
        <w:rPr>
          <w:rFonts w:ascii="Times New Roman" w:hAnsi="Times New Roman" w:cs="Times New Roman"/>
          <w:sz w:val="24"/>
          <w:szCs w:val="24"/>
        </w:rPr>
        <w:t xml:space="preserve"> SIAPE 2409129</w:t>
      </w:r>
    </w:p>
    <w:sectPr w:rsidR="00705A24" w:rsidRPr="00705A24" w:rsidSect="001F0D9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25B" w:rsidRDefault="00D7325B" w:rsidP="00F44FA6">
      <w:pPr>
        <w:spacing w:after="0" w:line="240" w:lineRule="auto"/>
      </w:pPr>
      <w:r>
        <w:separator/>
      </w:r>
    </w:p>
  </w:endnote>
  <w:endnote w:type="continuationSeparator" w:id="0">
    <w:p w:rsidR="00D7325B" w:rsidRDefault="00D7325B" w:rsidP="00F44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25B" w:rsidRDefault="00D7325B" w:rsidP="00F44FA6">
      <w:pPr>
        <w:spacing w:after="0" w:line="240" w:lineRule="auto"/>
      </w:pPr>
      <w:r>
        <w:separator/>
      </w:r>
    </w:p>
  </w:footnote>
  <w:footnote w:type="continuationSeparator" w:id="0">
    <w:p w:rsidR="00D7325B" w:rsidRDefault="00D7325B" w:rsidP="00F44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FA6" w:rsidRPr="00DA559D" w:rsidRDefault="00F44FA6" w:rsidP="00F44FA6">
    <w:pPr>
      <w:jc w:val="center"/>
      <w:rPr>
        <w:rFonts w:ascii="Arial" w:hAnsi="Arial" w:cs="Arial"/>
        <w:b/>
        <w:bCs/>
      </w:rPr>
    </w:pPr>
    <w:r>
      <w:rPr>
        <w:rFonts w:ascii="Arial" w:hAnsi="Arial" w:cs="Arial"/>
        <w:b/>
        <w:bCs/>
        <w:noProof/>
        <w:lang w:eastAsia="pt-BR"/>
      </w:rPr>
      <w:drawing>
        <wp:anchor distT="0" distB="0" distL="114300" distR="114300" simplePos="0" relativeHeight="251660288" behindDoc="0" locked="0" layoutInCell="1" allowOverlap="0">
          <wp:simplePos x="0" y="0"/>
          <wp:positionH relativeFrom="column">
            <wp:posOffset>-266065</wp:posOffset>
          </wp:positionH>
          <wp:positionV relativeFrom="paragraph">
            <wp:posOffset>-171450</wp:posOffset>
          </wp:positionV>
          <wp:extent cx="537210" cy="715010"/>
          <wp:effectExtent l="19050" t="0" r="0" b="0"/>
          <wp:wrapSquare wrapText="bothSides"/>
          <wp:docPr id="2" name="Imagem 0" descr="UFPB_83x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UFPB_83x110.png"/>
                  <pic:cNvPicPr>
                    <a:picLocks noChangeAspect="1" noChangeArrowheads="1"/>
                  </pic:cNvPicPr>
                </pic:nvPicPr>
                <pic:blipFill>
                  <a:blip r:embed="rId1"/>
                  <a:srcRect/>
                  <a:stretch>
                    <a:fillRect/>
                  </a:stretch>
                </pic:blipFill>
                <pic:spPr bwMode="auto">
                  <a:xfrm>
                    <a:off x="0" y="0"/>
                    <a:ext cx="537210" cy="715010"/>
                  </a:xfrm>
                  <a:prstGeom prst="rect">
                    <a:avLst/>
                  </a:prstGeom>
                  <a:noFill/>
                  <a:ln w="9525">
                    <a:noFill/>
                    <a:miter lim="800000"/>
                    <a:headEnd/>
                    <a:tailEnd/>
                  </a:ln>
                </pic:spPr>
              </pic:pic>
            </a:graphicData>
          </a:graphic>
        </wp:anchor>
      </w:drawing>
    </w:r>
    <w:r>
      <w:rPr>
        <w:rFonts w:ascii="Arial" w:hAnsi="Arial" w:cs="Arial"/>
        <w:b/>
        <w:bCs/>
        <w:noProof/>
        <w:lang w:eastAsia="pt-BR"/>
      </w:rPr>
      <w:drawing>
        <wp:anchor distT="0" distB="0" distL="114300" distR="114300" simplePos="0" relativeHeight="251659264" behindDoc="0" locked="0" layoutInCell="1" allowOverlap="0">
          <wp:simplePos x="0" y="0"/>
          <wp:positionH relativeFrom="column">
            <wp:posOffset>5485765</wp:posOffset>
          </wp:positionH>
          <wp:positionV relativeFrom="paragraph">
            <wp:posOffset>-85090</wp:posOffset>
          </wp:positionV>
          <wp:extent cx="706755" cy="824230"/>
          <wp:effectExtent l="19050" t="0" r="0" b="0"/>
          <wp:wrapSquare wrapText="bothSides"/>
          <wp:docPr id="1" name="Objeto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13"/>
                  <pic:cNvPicPr>
                    <a:picLocks noChangeArrowheads="1"/>
                  </pic:cNvPicPr>
                </pic:nvPicPr>
                <pic:blipFill>
                  <a:blip r:embed="rId2"/>
                  <a:srcRect t="-711" r="-349" b="-1067"/>
                  <a:stretch>
                    <a:fillRect/>
                  </a:stretch>
                </pic:blipFill>
                <pic:spPr bwMode="auto">
                  <a:xfrm>
                    <a:off x="0" y="0"/>
                    <a:ext cx="706755" cy="824230"/>
                  </a:xfrm>
                  <a:prstGeom prst="rect">
                    <a:avLst/>
                  </a:prstGeom>
                  <a:noFill/>
                  <a:ln w="9525">
                    <a:noFill/>
                    <a:miter lim="800000"/>
                    <a:headEnd/>
                    <a:tailEnd/>
                  </a:ln>
                </pic:spPr>
              </pic:pic>
            </a:graphicData>
          </a:graphic>
        </wp:anchor>
      </w:drawing>
    </w:r>
    <w:r w:rsidRPr="00DA559D">
      <w:rPr>
        <w:rFonts w:ascii="Arial" w:hAnsi="Arial" w:cs="Arial"/>
        <w:b/>
        <w:bCs/>
      </w:rPr>
      <w:t>MINISTÉRIO DA EDUCAÇÃO</w:t>
    </w:r>
  </w:p>
  <w:p w:rsidR="00F44FA6" w:rsidRPr="00DA559D" w:rsidRDefault="00F44FA6" w:rsidP="00F44FA6">
    <w:pPr>
      <w:tabs>
        <w:tab w:val="left" w:pos="526"/>
        <w:tab w:val="center" w:pos="4320"/>
      </w:tabs>
      <w:ind w:left="-180" w:right="-316"/>
      <w:rPr>
        <w:rFonts w:ascii="Arial" w:hAnsi="Arial" w:cs="Arial"/>
        <w:b/>
        <w:bCs/>
      </w:rPr>
    </w:pPr>
    <w:r>
      <w:rPr>
        <w:rFonts w:ascii="Arial" w:hAnsi="Arial" w:cs="Arial"/>
        <w:b/>
        <w:bCs/>
      </w:rPr>
      <w:tab/>
    </w:r>
    <w:r>
      <w:rPr>
        <w:rFonts w:ascii="Arial" w:hAnsi="Arial" w:cs="Arial"/>
        <w:b/>
        <w:bCs/>
      </w:rPr>
      <w:tab/>
      <w:t xml:space="preserve">UNIVERSIDADE FEDERAL DA PARAÍBA </w:t>
    </w:r>
  </w:p>
  <w:p w:rsidR="00F44FA6" w:rsidRPr="00DA559D" w:rsidRDefault="00F44FA6" w:rsidP="00F44FA6">
    <w:pPr>
      <w:jc w:val="center"/>
      <w:rPr>
        <w:rFonts w:ascii="Arial" w:hAnsi="Arial" w:cs="Arial"/>
        <w:b/>
        <w:bCs/>
      </w:rPr>
    </w:pPr>
    <w:r>
      <w:rPr>
        <w:rFonts w:ascii="Arial" w:hAnsi="Arial" w:cs="Arial"/>
        <w:b/>
        <w:bCs/>
      </w:rPr>
      <w:t>BIBLIOTECA CENTRAL</w:t>
    </w:r>
  </w:p>
  <w:p w:rsidR="00F44FA6" w:rsidRDefault="00F44FA6" w:rsidP="00F44FA6">
    <w:pPr>
      <w:pStyle w:val="Cabealho"/>
    </w:pPr>
  </w:p>
  <w:p w:rsidR="00F44FA6" w:rsidRDefault="00F44FA6">
    <w:pPr>
      <w:pStyle w:val="Cabealho"/>
    </w:pPr>
  </w:p>
  <w:p w:rsidR="00F44FA6" w:rsidRDefault="00F44FA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44FA6"/>
    <w:rsid w:val="00174DD0"/>
    <w:rsid w:val="001B61B3"/>
    <w:rsid w:val="001F0D9C"/>
    <w:rsid w:val="00617964"/>
    <w:rsid w:val="006F350D"/>
    <w:rsid w:val="00705A24"/>
    <w:rsid w:val="00727399"/>
    <w:rsid w:val="00800864"/>
    <w:rsid w:val="00811D24"/>
    <w:rsid w:val="008B3987"/>
    <w:rsid w:val="00974DA3"/>
    <w:rsid w:val="009C76F0"/>
    <w:rsid w:val="009E3575"/>
    <w:rsid w:val="00A65F59"/>
    <w:rsid w:val="00B5673E"/>
    <w:rsid w:val="00BF4B00"/>
    <w:rsid w:val="00C34096"/>
    <w:rsid w:val="00C37070"/>
    <w:rsid w:val="00D4377B"/>
    <w:rsid w:val="00D7325B"/>
    <w:rsid w:val="00F03E01"/>
    <w:rsid w:val="00F44FA6"/>
    <w:rsid w:val="00FC4C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F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44F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4FA6"/>
  </w:style>
  <w:style w:type="paragraph" w:styleId="Rodap">
    <w:name w:val="footer"/>
    <w:basedOn w:val="Normal"/>
    <w:link w:val="RodapChar"/>
    <w:uiPriority w:val="99"/>
    <w:semiHidden/>
    <w:unhideWhenUsed/>
    <w:rsid w:val="00F44FA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44FA6"/>
  </w:style>
  <w:style w:type="paragraph" w:styleId="Textodebalo">
    <w:name w:val="Balloon Text"/>
    <w:basedOn w:val="Normal"/>
    <w:link w:val="TextodebaloChar"/>
    <w:uiPriority w:val="99"/>
    <w:semiHidden/>
    <w:unhideWhenUsed/>
    <w:rsid w:val="00F44F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4FA6"/>
    <w:rPr>
      <w:rFonts w:ascii="Tahoma" w:hAnsi="Tahoma" w:cs="Tahoma"/>
      <w:sz w:val="16"/>
      <w:szCs w:val="16"/>
    </w:rPr>
  </w:style>
  <w:style w:type="paragraph" w:customStyle="1" w:styleId="Default">
    <w:name w:val="Default"/>
    <w:rsid w:val="009C76F0"/>
    <w:pPr>
      <w:autoSpaceDE w:val="0"/>
      <w:autoSpaceDN w:val="0"/>
      <w:adjustRightInd w:val="0"/>
      <w:spacing w:after="0" w:line="240" w:lineRule="auto"/>
    </w:pPr>
    <w:rPr>
      <w:rFonts w:ascii="Times" w:hAnsi="Times" w:cs="Time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3D7A1-EBA3-4A31-BB14-BDA6EBCD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520</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Vivaldo AC Jr</dc:creator>
  <cp:keywords/>
  <dc:description/>
  <cp:lastModifiedBy>Vivaldo AC Jr</cp:lastModifiedBy>
  <cp:revision>6</cp:revision>
  <cp:lastPrinted>2019-04-09T17:06:00Z</cp:lastPrinted>
  <dcterms:created xsi:type="dcterms:W3CDTF">2019-04-09T12:49:00Z</dcterms:created>
  <dcterms:modified xsi:type="dcterms:W3CDTF">2019-04-11T15:29:00Z</dcterms:modified>
</cp:coreProperties>
</file>